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0187" w:rsidRDefault="0023015F">
      <w:pPr>
        <w:pStyle w:val="Kop1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>
                <wp:extent cx="5852160" cy="369570"/>
                <wp:effectExtent l="0" t="0" r="0" b="0"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4683" y="3599978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0187" w:rsidRDefault="0023015F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32"/>
                              </w:rPr>
                              <w:t>Lesformulier</w:t>
                            </w:r>
                          </w:p>
                        </w:txbxContent>
                      </wps:txbx>
                      <wps:bodyPr spcFirstLastPara="1" wrap="square" lIns="54000" tIns="18000" rIns="54000" bIns="54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52160" cy="369570"/>
                <wp:effectExtent b="0" l="0" r="0" 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3695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E0187" w:rsidRDefault="00BE0187">
      <w:pPr>
        <w:pStyle w:val="Kop2"/>
      </w:pPr>
    </w:p>
    <w:p w:rsidR="00BE0187" w:rsidRDefault="00BE0187"/>
    <w:tbl>
      <w:tblPr>
        <w:tblStyle w:val="a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titel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 xml:space="preserve"> les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r>
              <w:t>Ontwerp een nieuw hoofddeksel voor Sinterklaas</w:t>
            </w:r>
          </w:p>
        </w:tc>
      </w:tr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voor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 xml:space="preserve"> welke groep(en)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proofErr w:type="gramStart"/>
            <w:r>
              <w:t>groep</w:t>
            </w:r>
            <w:proofErr w:type="gramEnd"/>
            <w:r>
              <w:t xml:space="preserve"> 1 en 2</w:t>
            </w:r>
          </w:p>
        </w:tc>
      </w:tr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onderwerp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>/thema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r>
              <w:t>Sinterklaas</w:t>
            </w:r>
          </w:p>
        </w:tc>
      </w:tr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kunstdiscipline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>(s)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r>
              <w:t>Beeldend</w:t>
            </w:r>
          </w:p>
        </w:tc>
      </w:tr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vaardigheden</w:t>
            </w:r>
            <w:proofErr w:type="gramEnd"/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r>
              <w:t>Maken V7</w:t>
            </w:r>
          </w:p>
          <w:p w:rsidR="00BE0187" w:rsidRDefault="0023015F">
            <w:r>
              <w:t>De leerling durft te ontwerpen, te maken, te componeren, te produceren, te improviseren en te verbeteren.</w:t>
            </w:r>
          </w:p>
          <w:p w:rsidR="00BE0187" w:rsidRDefault="0023015F">
            <w:r>
              <w:t xml:space="preserve">De leerling past bewust technieken, vaardigheden en materialen toe binnen het eigen werk. </w:t>
            </w:r>
          </w:p>
        </w:tc>
      </w:tr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doelen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>(en)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r>
              <w:t>Vorm B4</w:t>
            </w:r>
          </w:p>
          <w:p w:rsidR="00BE0187" w:rsidRDefault="0023015F">
            <w:r>
              <w:t>De leerling kent vormkenmerken (bijv. s</w:t>
            </w:r>
            <w:r>
              <w:t>pits, hoekig, lang en dun)</w:t>
            </w:r>
          </w:p>
          <w:p w:rsidR="00BE0187" w:rsidRDefault="0023015F">
            <w:r>
              <w:t>Textuur B10</w:t>
            </w:r>
          </w:p>
          <w:p w:rsidR="00BE0187" w:rsidRDefault="0023015F">
            <w:r>
              <w:t>De leerling kan verschillende texturen en stofuitdrukkingen ervaren</w:t>
            </w:r>
          </w:p>
        </w:tc>
      </w:tr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werkvorm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>(en)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r>
              <w:t>B12 tekenen, B14 schilderen</w:t>
            </w:r>
          </w:p>
        </w:tc>
      </w:tr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presentatievorm</w:t>
            </w:r>
            <w:proofErr w:type="gramEnd"/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r>
              <w:t xml:space="preserve">P2 Als een fanfare of parade </w:t>
            </w:r>
          </w:p>
        </w:tc>
      </w:tr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duur</w:t>
            </w:r>
            <w:proofErr w:type="gramEnd"/>
            <w:r>
              <w:rPr>
                <w:rFonts w:ascii="Calibri" w:eastAsia="Calibri" w:hAnsi="Calibri" w:cs="Calibri"/>
                <w:color w:val="0066B1"/>
              </w:rPr>
              <w:t xml:space="preserve"> van les(</w:t>
            </w:r>
            <w:proofErr w:type="spellStart"/>
            <w:r>
              <w:rPr>
                <w:rFonts w:ascii="Calibri" w:eastAsia="Calibri" w:hAnsi="Calibri" w:cs="Calibri"/>
                <w:color w:val="0066B1"/>
              </w:rPr>
              <w:t>senreeks</w:t>
            </w:r>
            <w:proofErr w:type="spellEnd"/>
            <w:r>
              <w:rPr>
                <w:rFonts w:ascii="Calibri" w:eastAsia="Calibri" w:hAnsi="Calibri" w:cs="Calibri"/>
                <w:color w:val="0066B1"/>
              </w:rPr>
              <w:t xml:space="preserve">) 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r>
              <w:t xml:space="preserve">2 lessen </w:t>
            </w:r>
          </w:p>
        </w:tc>
      </w:tr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benodigdheden</w:t>
            </w:r>
            <w:proofErr w:type="gramEnd"/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r>
              <w:t>verschillende hoofddeksels,  brief van sint</w:t>
            </w:r>
            <w:r w:rsidR="008948B4">
              <w:t>, papier, tekenmateriaal, stof</w:t>
            </w:r>
            <w:bookmarkStart w:id="0" w:name="_GoBack"/>
            <w:bookmarkEnd w:id="0"/>
          </w:p>
        </w:tc>
      </w:tr>
      <w:tr w:rsidR="00BE0187">
        <w:trPr>
          <w:trHeight w:val="31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  <w:vAlign w:val="center"/>
          </w:tcPr>
          <w:p w:rsidR="00BE0187" w:rsidRDefault="0023015F">
            <w:pPr>
              <w:pStyle w:val="Kop2"/>
              <w:jc w:val="right"/>
              <w:rPr>
                <w:rFonts w:ascii="Calibri" w:eastAsia="Calibri" w:hAnsi="Calibri" w:cs="Calibri"/>
                <w:color w:val="0066B1"/>
              </w:rPr>
            </w:pPr>
            <w:proofErr w:type="gramStart"/>
            <w:r>
              <w:rPr>
                <w:rFonts w:ascii="Calibri" w:eastAsia="Calibri" w:hAnsi="Calibri" w:cs="Calibri"/>
                <w:color w:val="0066B1"/>
              </w:rPr>
              <w:t>voorbereiding</w:t>
            </w:r>
            <w:proofErr w:type="gramEnd"/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  <w:vAlign w:val="center"/>
          </w:tcPr>
          <w:p w:rsidR="00BE0187" w:rsidRDefault="0023015F">
            <w:hyperlink r:id="rId9">
              <w:r>
                <w:rPr>
                  <w:color w:val="1155CC"/>
                  <w:u w:val="single"/>
                </w:rPr>
                <w:t>Presentatie</w:t>
              </w:r>
            </w:hyperlink>
          </w:p>
          <w:p w:rsidR="00BE0187" w:rsidRDefault="0023015F">
            <w:hyperlink r:id="rId10">
              <w:proofErr w:type="gramStart"/>
              <w:r>
                <w:rPr>
                  <w:color w:val="1155CC"/>
                  <w:u w:val="single"/>
                </w:rPr>
                <w:t>brief</w:t>
              </w:r>
              <w:proofErr w:type="gramEnd"/>
              <w:r>
                <w:rPr>
                  <w:color w:val="1155CC"/>
                  <w:u w:val="single"/>
                </w:rPr>
                <w:t xml:space="preserve"> van de sint</w:t>
              </w:r>
            </w:hyperlink>
          </w:p>
          <w:p w:rsidR="00BE0187" w:rsidRDefault="00BE0187" w:rsidP="008948B4"/>
        </w:tc>
      </w:tr>
    </w:tbl>
    <w:p w:rsidR="00BE0187" w:rsidRDefault="00BE0187"/>
    <w:p w:rsidR="00BE0187" w:rsidRDefault="00BE0187"/>
    <w:p w:rsidR="00BE0187" w:rsidRDefault="0023015F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inline distT="0" distB="0" distL="0" distR="0">
                <wp:extent cx="5852160" cy="369570"/>
                <wp:effectExtent l="0" t="0" r="0" b="0"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4683" y="3599978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0187" w:rsidRDefault="0023015F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32"/>
                              </w:rPr>
                              <w:t>Lesopbouw</w:t>
                            </w:r>
                          </w:p>
                          <w:p w:rsidR="00BE0187" w:rsidRDefault="0023015F">
                            <w:pPr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dsg</w:t>
                            </w:r>
                            <w:proofErr w:type="spellEnd"/>
                            <w:proofErr w:type="gramEnd"/>
                          </w:p>
                          <w:p w:rsidR="00BE0187" w:rsidRDefault="0023015F">
                            <w:pPr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jkdhgjfb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spcFirstLastPara="1" wrap="square" lIns="72000" tIns="36000" rIns="72000" bIns="72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52160" cy="369570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3695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E0187" w:rsidRDefault="00BE0187"/>
    <w:p w:rsidR="00BE0187" w:rsidRDefault="00BE0187"/>
    <w:tbl>
      <w:tblPr>
        <w:tblStyle w:val="a0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BE0187"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</w:tcPr>
          <w:p w:rsidR="00BE0187" w:rsidRDefault="0023015F">
            <w:pPr>
              <w:jc w:val="right"/>
              <w:rPr>
                <w:smallCaps/>
                <w:color w:val="0066B1"/>
                <w:sz w:val="20"/>
                <w:szCs w:val="20"/>
              </w:rPr>
            </w:pPr>
            <w:r>
              <w:rPr>
                <w:smallCaps/>
                <w:color w:val="0066B1"/>
                <w:sz w:val="20"/>
                <w:szCs w:val="20"/>
              </w:rPr>
              <w:t>ORIËNTATIEFASE</w:t>
            </w:r>
          </w:p>
          <w:p w:rsidR="00BE0187" w:rsidRDefault="00BE0187">
            <w:pPr>
              <w:jc w:val="right"/>
              <w:rPr>
                <w:color w:val="0066B1"/>
                <w:sz w:val="18"/>
                <w:szCs w:val="18"/>
              </w:rPr>
            </w:pP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>Denk hierbij aan:</w:t>
            </w: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proofErr w:type="gramStart"/>
            <w:r>
              <w:rPr>
                <w:i/>
                <w:color w:val="0066B1"/>
                <w:sz w:val="16"/>
                <w:szCs w:val="16"/>
              </w:rPr>
              <w:t>voorkennis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 xml:space="preserve"> ophalen, verwonderen, waarnemen (kijken, luisteren, voelen, ruiken, proeven), </w:t>
            </w: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proofErr w:type="gramStart"/>
            <w:r>
              <w:rPr>
                <w:i/>
                <w:color w:val="0066B1"/>
                <w:sz w:val="16"/>
                <w:szCs w:val="16"/>
              </w:rPr>
              <w:t>associëren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 xml:space="preserve">, fantaseren, beschouwen en reflecteren. </w:t>
            </w: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</w:tcPr>
          <w:p w:rsidR="00BE0187" w:rsidRDefault="0023015F">
            <w:pPr>
              <w:numPr>
                <w:ilvl w:val="0"/>
                <w:numId w:val="1"/>
              </w:numPr>
            </w:pPr>
            <w:r>
              <w:t xml:space="preserve">Verschillende hoofddeksels laten zien&gt;Vormen bespreken, rond, spits, bol, vierkant </w:t>
            </w:r>
            <w:proofErr w:type="spellStart"/>
            <w:r>
              <w:t>enz</w:t>
            </w:r>
            <w:proofErr w:type="spellEnd"/>
          </w:p>
          <w:p w:rsidR="00BE0187" w:rsidRDefault="0023015F">
            <w:pPr>
              <w:numPr>
                <w:ilvl w:val="0"/>
                <w:numId w:val="1"/>
              </w:numPr>
            </w:pPr>
            <w:r>
              <w:t>Verschillende hoofddeksels voelen (textuur)</w:t>
            </w:r>
          </w:p>
          <w:p w:rsidR="00BE0187" w:rsidRDefault="0023015F">
            <w:pPr>
              <w:numPr>
                <w:ilvl w:val="0"/>
                <w:numId w:val="1"/>
              </w:numPr>
            </w:pPr>
            <w:r>
              <w:t>Gesprek over hoofddeksels welke soorten je allemaal hebt</w:t>
            </w:r>
          </w:p>
          <w:p w:rsidR="00BE0187" w:rsidRDefault="0023015F">
            <w:pPr>
              <w:numPr>
                <w:ilvl w:val="0"/>
                <w:numId w:val="1"/>
              </w:numPr>
            </w:pPr>
            <w:r>
              <w:t>Filmpjes over hoofddeksels</w:t>
            </w:r>
          </w:p>
          <w:p w:rsidR="00BE0187" w:rsidRDefault="0023015F">
            <w:pPr>
              <w:numPr>
                <w:ilvl w:val="0"/>
                <w:numId w:val="1"/>
              </w:numPr>
            </w:pPr>
            <w:r>
              <w:t xml:space="preserve">Bespreken wanneer een hoofddeksel je hoofd goed beschermt </w:t>
            </w:r>
            <w:r>
              <w:br/>
            </w:r>
            <w:r>
              <w:br/>
            </w:r>
          </w:p>
          <w:p w:rsidR="00BE0187" w:rsidRDefault="0023015F">
            <w:pPr>
              <w:numPr>
                <w:ilvl w:val="0"/>
                <w:numId w:val="1"/>
              </w:numPr>
            </w:pPr>
            <w:r>
              <w:t xml:space="preserve">Verhaal: Brief van Sinterklaas ontvangen waarin staat dat hij met dit slechte herfstweer natte haren krijgt. Hij vraagt de kinderen of zij een hoofddeksel kunnen ontwerpen:  </w:t>
            </w:r>
          </w:p>
          <w:p w:rsidR="00BE0187" w:rsidRDefault="0023015F">
            <w:pPr>
              <w:numPr>
                <w:ilvl w:val="0"/>
                <w:numId w:val="1"/>
              </w:numPr>
            </w:pPr>
            <w:r>
              <w:t>-&gt; Dat tegen water k</w:t>
            </w:r>
            <w:r>
              <w:t>an</w:t>
            </w:r>
          </w:p>
          <w:p w:rsidR="00BE0187" w:rsidRDefault="0023015F">
            <w:pPr>
              <w:numPr>
                <w:ilvl w:val="0"/>
                <w:numId w:val="1"/>
              </w:numPr>
            </w:pPr>
            <w:r>
              <w:t xml:space="preserve">-&gt; Waar hij goed mee te zien is op het dak </w:t>
            </w:r>
          </w:p>
          <w:p w:rsidR="00BE0187" w:rsidRDefault="0023015F">
            <w:pPr>
              <w:numPr>
                <w:ilvl w:val="0"/>
                <w:numId w:val="1"/>
              </w:numPr>
            </w:pPr>
            <w:r>
              <w:t>-&gt; Dat stevig blijft zitten</w:t>
            </w:r>
          </w:p>
          <w:p w:rsidR="00BE0187" w:rsidRDefault="0023015F">
            <w:pPr>
              <w:numPr>
                <w:ilvl w:val="0"/>
                <w:numId w:val="1"/>
              </w:numPr>
            </w:pPr>
            <w:r>
              <w:t>-&gt; Dat bijzonder is</w:t>
            </w:r>
          </w:p>
        </w:tc>
      </w:tr>
    </w:tbl>
    <w:p w:rsidR="00BE0187" w:rsidRDefault="00BE0187"/>
    <w:p w:rsidR="00BE0187" w:rsidRDefault="00BE0187"/>
    <w:tbl>
      <w:tblPr>
        <w:tblStyle w:val="a1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BE0187"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</w:tcPr>
          <w:p w:rsidR="00BE0187" w:rsidRDefault="0023015F">
            <w:pPr>
              <w:jc w:val="right"/>
              <w:rPr>
                <w:smallCaps/>
                <w:color w:val="0066B1"/>
                <w:sz w:val="20"/>
                <w:szCs w:val="20"/>
              </w:rPr>
            </w:pPr>
            <w:r>
              <w:rPr>
                <w:smallCaps/>
                <w:color w:val="0066B1"/>
                <w:sz w:val="20"/>
                <w:szCs w:val="20"/>
              </w:rPr>
              <w:t>ONDERZOEKSFASE</w:t>
            </w: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>Denk hierbij aan:</w:t>
            </w: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proofErr w:type="gramStart"/>
            <w:r>
              <w:rPr>
                <w:i/>
                <w:color w:val="0066B1"/>
                <w:sz w:val="16"/>
                <w:szCs w:val="16"/>
              </w:rPr>
              <w:t>brainstormen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 xml:space="preserve">, bronnen zoeken, schetsen, experimenteren, </w:t>
            </w:r>
            <w:r>
              <w:rPr>
                <w:i/>
                <w:color w:val="0066B1"/>
                <w:sz w:val="16"/>
                <w:szCs w:val="16"/>
              </w:rPr>
              <w:lastRenderedPageBreak/>
              <w:t>improviseren, oefenen, proefjes doen of maken, nieuwe technieken aanleren, keuzes en een plan maken.</w:t>
            </w: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</w:tcPr>
          <w:p w:rsidR="00BE0187" w:rsidRDefault="00BE0187"/>
          <w:p w:rsidR="00BE0187" w:rsidRDefault="0023015F">
            <w:r>
              <w:t>Schetsen en ontwerpen →op a3 papier met kleurpotlood of met wasco</w:t>
            </w:r>
          </w:p>
          <w:p w:rsidR="00BE0187" w:rsidRDefault="0023015F">
            <w:pPr>
              <w:numPr>
                <w:ilvl w:val="0"/>
                <w:numId w:val="2"/>
              </w:numPr>
            </w:pPr>
            <w:r>
              <w:t>Na het schetsen bespr</w:t>
            </w:r>
            <w:r>
              <w:t xml:space="preserve">eken welke materialen de kinderen nodig hebben om de volgende les de schets echt te maken. </w:t>
            </w:r>
          </w:p>
          <w:p w:rsidR="00BE0187" w:rsidRDefault="0023015F">
            <w:pPr>
              <w:numPr>
                <w:ilvl w:val="0"/>
                <w:numId w:val="2"/>
              </w:numPr>
            </w:pPr>
            <w:r>
              <w:t>Experimenteren met papier, stof, draad</w:t>
            </w:r>
          </w:p>
          <w:p w:rsidR="00BE0187" w:rsidRDefault="0023015F">
            <w:pPr>
              <w:numPr>
                <w:ilvl w:val="0"/>
                <w:numId w:val="2"/>
              </w:numPr>
            </w:pPr>
            <w:r>
              <w:lastRenderedPageBreak/>
              <w:t xml:space="preserve">Technieken: Papier&gt; Vouwen, knippen, </w:t>
            </w:r>
            <w:proofErr w:type="gramStart"/>
            <w:r>
              <w:t>verbinden(</w:t>
            </w:r>
            <w:proofErr w:type="gramEnd"/>
            <w:r>
              <w:t>lijm, plakband)</w:t>
            </w:r>
          </w:p>
          <w:p w:rsidR="00BE0187" w:rsidRDefault="0023015F">
            <w:pPr>
              <w:ind w:left="720"/>
            </w:pPr>
            <w:r>
              <w:t xml:space="preserve">Stof&gt;reepjes scheuren, knopen, mouleren </w:t>
            </w:r>
          </w:p>
        </w:tc>
      </w:tr>
    </w:tbl>
    <w:p w:rsidR="00BE0187" w:rsidRDefault="00BE0187"/>
    <w:p w:rsidR="00BE0187" w:rsidRDefault="00BE0187"/>
    <w:tbl>
      <w:tblPr>
        <w:tblStyle w:val="a2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BE0187"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</w:tcPr>
          <w:p w:rsidR="00BE0187" w:rsidRDefault="0023015F">
            <w:pPr>
              <w:jc w:val="right"/>
              <w:rPr>
                <w:smallCaps/>
                <w:color w:val="0066B1"/>
                <w:sz w:val="20"/>
                <w:szCs w:val="20"/>
              </w:rPr>
            </w:pPr>
            <w:r>
              <w:rPr>
                <w:smallCaps/>
                <w:color w:val="0066B1"/>
                <w:sz w:val="20"/>
                <w:szCs w:val="20"/>
              </w:rPr>
              <w:t>UITVOERINGSFASE</w:t>
            </w:r>
          </w:p>
          <w:p w:rsidR="00BE0187" w:rsidRDefault="00BE0187">
            <w:pPr>
              <w:jc w:val="right"/>
              <w:rPr>
                <w:color w:val="0066B1"/>
                <w:sz w:val="18"/>
                <w:szCs w:val="18"/>
              </w:rPr>
            </w:pP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 xml:space="preserve">Denk hierbij aan: </w:t>
            </w: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color w:val="0066B1"/>
                <w:sz w:val="16"/>
                <w:szCs w:val="16"/>
              </w:rPr>
              <w:t>toepassen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>, herhalen, (in)oefenen, delen van (tussen)resultaten.</w:t>
            </w: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</w:tcPr>
          <w:p w:rsidR="00BE0187" w:rsidRDefault="00BE0187"/>
          <w:p w:rsidR="00BE0187" w:rsidRDefault="0023015F">
            <w:pPr>
              <w:numPr>
                <w:ilvl w:val="0"/>
                <w:numId w:val="4"/>
              </w:numPr>
            </w:pPr>
            <w:r>
              <w:t xml:space="preserve">Opdracht uitvoeren aan de hand van de schets. Ligt eraan waar de kinderen in de oriëntatiefase mee komen en welke technieken we aan gaan leren. </w:t>
            </w:r>
          </w:p>
          <w:p w:rsidR="00BE0187" w:rsidRDefault="0023015F">
            <w:pPr>
              <w:numPr>
                <w:ilvl w:val="0"/>
                <w:numId w:val="4"/>
              </w:numPr>
            </w:pPr>
            <w:r>
              <w:t>Aangeleerde technieken in de praktijk brengen</w:t>
            </w:r>
          </w:p>
        </w:tc>
      </w:tr>
    </w:tbl>
    <w:p w:rsidR="00BE0187" w:rsidRDefault="00BE0187"/>
    <w:p w:rsidR="00BE0187" w:rsidRDefault="00BE0187"/>
    <w:tbl>
      <w:tblPr>
        <w:tblStyle w:val="a3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BE0187"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</w:tcPr>
          <w:p w:rsidR="00BE0187" w:rsidRDefault="0023015F">
            <w:pPr>
              <w:jc w:val="right"/>
              <w:rPr>
                <w:rFonts w:ascii="Anivers Regular" w:eastAsia="Anivers Regular" w:hAnsi="Anivers Regular" w:cs="Anivers Regular"/>
                <w:smallCaps/>
                <w:color w:val="0066B1"/>
                <w:sz w:val="20"/>
                <w:szCs w:val="20"/>
              </w:rPr>
            </w:pPr>
            <w:r>
              <w:rPr>
                <w:rFonts w:ascii="Anivers Regular" w:eastAsia="Anivers Regular" w:hAnsi="Anivers Regular" w:cs="Anivers Regular"/>
                <w:smallCaps/>
                <w:color w:val="0066B1"/>
                <w:sz w:val="20"/>
                <w:szCs w:val="20"/>
              </w:rPr>
              <w:t>EVALUATIEFASE</w:t>
            </w:r>
          </w:p>
          <w:p w:rsidR="00BE0187" w:rsidRDefault="00BE0187">
            <w:pPr>
              <w:jc w:val="right"/>
              <w:rPr>
                <w:rFonts w:ascii="Anivers Regular" w:eastAsia="Anivers Regular" w:hAnsi="Anivers Regular" w:cs="Anivers Regular"/>
                <w:color w:val="0066B1"/>
                <w:sz w:val="18"/>
                <w:szCs w:val="18"/>
              </w:rPr>
            </w:pP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 xml:space="preserve">Denk hierbij aan: </w:t>
            </w: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r>
              <w:rPr>
                <w:i/>
                <w:color w:val="0066B1"/>
                <w:sz w:val="16"/>
                <w:szCs w:val="16"/>
              </w:rPr>
              <w:t>Terugkijken op product en proces en</w:t>
            </w: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proofErr w:type="gramStart"/>
            <w:r>
              <w:rPr>
                <w:i/>
                <w:color w:val="0066B1"/>
                <w:sz w:val="16"/>
                <w:szCs w:val="16"/>
              </w:rPr>
              <w:t>wat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 xml:space="preserve"> geleerd is, het creëren van ruimte om te groeien en het formuleren </w:t>
            </w:r>
          </w:p>
          <w:p w:rsidR="00BE0187" w:rsidRDefault="0023015F">
            <w:pPr>
              <w:jc w:val="right"/>
              <w:rPr>
                <w:i/>
                <w:color w:val="0066B1"/>
                <w:sz w:val="16"/>
                <w:szCs w:val="16"/>
              </w:rPr>
            </w:pPr>
            <w:proofErr w:type="gramStart"/>
            <w:r>
              <w:rPr>
                <w:i/>
                <w:color w:val="0066B1"/>
                <w:sz w:val="16"/>
                <w:szCs w:val="16"/>
              </w:rPr>
              <w:t>van</w:t>
            </w:r>
            <w:proofErr w:type="gramEnd"/>
            <w:r>
              <w:rPr>
                <w:i/>
                <w:color w:val="0066B1"/>
                <w:sz w:val="16"/>
                <w:szCs w:val="16"/>
              </w:rPr>
              <w:t xml:space="preserve"> nieuwe leervragen. </w:t>
            </w: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i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</w:tcPr>
          <w:p w:rsidR="00BE0187" w:rsidRDefault="0023015F">
            <w:pPr>
              <w:numPr>
                <w:ilvl w:val="0"/>
                <w:numId w:val="3"/>
              </w:numPr>
            </w:pPr>
            <w:r>
              <w:t xml:space="preserve">De kinderen lopen in een parade met hun eigen ontworpen hoofddeksel door de school. </w:t>
            </w:r>
          </w:p>
        </w:tc>
      </w:tr>
    </w:tbl>
    <w:p w:rsidR="00BE0187" w:rsidRDefault="00BE0187"/>
    <w:p w:rsidR="00BE0187" w:rsidRDefault="00BE0187"/>
    <w:p w:rsidR="00BE0187" w:rsidRDefault="0023015F">
      <w:r>
        <w:rPr>
          <w:noProof/>
        </w:rPr>
        <mc:AlternateContent>
          <mc:Choice Requires="wpg">
            <w:drawing>
              <wp:inline distT="0" distB="0" distL="0" distR="0">
                <wp:extent cx="5852160" cy="369570"/>
                <wp:effectExtent l="0" t="0" r="0" b="0"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4683" y="3599978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0187" w:rsidRDefault="0023015F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32"/>
                              </w:rPr>
                              <w:t>Tips/inspiratie/verdieping</w:t>
                            </w:r>
                          </w:p>
                        </w:txbxContent>
                      </wps:txbx>
                      <wps:bodyPr spcFirstLastPara="1" wrap="square" lIns="54000" tIns="18000" rIns="54000" bIns="54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52160" cy="369570"/>
                <wp:effectExtent b="0" l="0" r="0" 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3695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E0187" w:rsidRDefault="00BE0187"/>
    <w:p w:rsidR="00BE0187" w:rsidRDefault="00BE0187"/>
    <w:tbl>
      <w:tblPr>
        <w:tblStyle w:val="a4"/>
        <w:tblW w:w="9061" w:type="dxa"/>
        <w:tblInd w:w="0" w:type="dxa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6861"/>
      </w:tblGrid>
      <w:tr w:rsidR="00BE0187"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66B1"/>
            </w:tcBorders>
            <w:shd w:val="clear" w:color="auto" w:fill="auto"/>
          </w:tcPr>
          <w:p w:rsidR="00BE0187" w:rsidRDefault="0023015F">
            <w:pPr>
              <w:jc w:val="right"/>
              <w:rPr>
                <w:i/>
                <w:color w:val="0065B1"/>
                <w:sz w:val="16"/>
                <w:szCs w:val="16"/>
              </w:rPr>
            </w:pPr>
            <w:r>
              <w:rPr>
                <w:i/>
                <w:color w:val="0065B1"/>
                <w:sz w:val="16"/>
                <w:szCs w:val="16"/>
              </w:rPr>
              <w:t>Denk bijvoorbeeld aan:</w:t>
            </w:r>
          </w:p>
          <w:p w:rsidR="00BE0187" w:rsidRDefault="0023015F">
            <w:pPr>
              <w:jc w:val="right"/>
              <w:rPr>
                <w:i/>
                <w:color w:val="0065B1"/>
                <w:sz w:val="16"/>
                <w:szCs w:val="16"/>
              </w:rPr>
            </w:pPr>
            <w:r>
              <w:rPr>
                <w:i/>
                <w:color w:val="0065B1"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color w:val="0065B1"/>
                <w:sz w:val="16"/>
                <w:szCs w:val="16"/>
              </w:rPr>
              <w:t>extra</w:t>
            </w:r>
            <w:proofErr w:type="gramEnd"/>
            <w:r>
              <w:rPr>
                <w:i/>
                <w:color w:val="0065B1"/>
                <w:sz w:val="16"/>
                <w:szCs w:val="16"/>
              </w:rPr>
              <w:t xml:space="preserve"> activiteiten,</w:t>
            </w:r>
          </w:p>
          <w:p w:rsidR="00BE0187" w:rsidRDefault="0023015F">
            <w:pPr>
              <w:jc w:val="right"/>
              <w:rPr>
                <w:i/>
                <w:color w:val="0065B1"/>
                <w:sz w:val="16"/>
                <w:szCs w:val="16"/>
              </w:rPr>
            </w:pPr>
            <w:r>
              <w:rPr>
                <w:i/>
                <w:color w:val="0065B1"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color w:val="0065B1"/>
                <w:sz w:val="16"/>
                <w:szCs w:val="16"/>
              </w:rPr>
              <w:t>uitstapjes</w:t>
            </w:r>
            <w:proofErr w:type="gramEnd"/>
            <w:r>
              <w:rPr>
                <w:i/>
                <w:color w:val="0065B1"/>
                <w:sz w:val="16"/>
                <w:szCs w:val="16"/>
              </w:rPr>
              <w:t xml:space="preserve">, </w:t>
            </w:r>
          </w:p>
          <w:p w:rsidR="00BE0187" w:rsidRDefault="0023015F">
            <w:pPr>
              <w:jc w:val="right"/>
              <w:rPr>
                <w:i/>
                <w:color w:val="0065B1"/>
                <w:sz w:val="16"/>
                <w:szCs w:val="16"/>
              </w:rPr>
            </w:pPr>
            <w:proofErr w:type="gramStart"/>
            <w:r>
              <w:rPr>
                <w:i/>
                <w:color w:val="0065B1"/>
                <w:sz w:val="16"/>
                <w:szCs w:val="16"/>
              </w:rPr>
              <w:t>beeldmateriaal</w:t>
            </w:r>
            <w:proofErr w:type="gramEnd"/>
            <w:r>
              <w:rPr>
                <w:i/>
                <w:color w:val="0065B1"/>
                <w:sz w:val="16"/>
                <w:szCs w:val="16"/>
              </w:rPr>
              <w:t xml:space="preserve"> en inspiratiebronnen.</w:t>
            </w: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BE0187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</w:p>
          <w:p w:rsidR="00BE0187" w:rsidRDefault="0023015F">
            <w:pPr>
              <w:jc w:val="right"/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</w:pPr>
            <w:r>
              <w:rPr>
                <w:rFonts w:ascii="Anivers Italic" w:eastAsia="Anivers Italic" w:hAnsi="Anivers Italic" w:cs="Anivers Italic"/>
                <w:color w:val="0066B1"/>
                <w:sz w:val="16"/>
                <w:szCs w:val="16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66B1"/>
              <w:left w:val="single" w:sz="4" w:space="0" w:color="0066B1"/>
              <w:bottom w:val="single" w:sz="4" w:space="0" w:color="0066B1"/>
              <w:right w:val="single" w:sz="4" w:space="0" w:color="0066B1"/>
            </w:tcBorders>
          </w:tcPr>
          <w:p w:rsidR="00BE0187" w:rsidRDefault="00BE0187"/>
        </w:tc>
      </w:tr>
    </w:tbl>
    <w:p w:rsidR="00BE0187" w:rsidRDefault="00BE0187">
      <w:pPr>
        <w:rPr>
          <w:rFonts w:ascii="Cambria" w:eastAsia="Cambria" w:hAnsi="Cambria" w:cs="Cambria"/>
        </w:rPr>
      </w:pPr>
    </w:p>
    <w:sectPr w:rsidR="00BE0187">
      <w:headerReference w:type="even" r:id="rId13"/>
      <w:footerReference w:type="default" r:id="rId14"/>
      <w:pgSz w:w="11900" w:h="16840"/>
      <w:pgMar w:top="850" w:right="1417" w:bottom="1417" w:left="1417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015F" w:rsidRDefault="0023015F">
      <w:r>
        <w:separator/>
      </w:r>
    </w:p>
  </w:endnote>
  <w:endnote w:type="continuationSeparator" w:id="0">
    <w:p w:rsidR="0023015F" w:rsidRDefault="0023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ivers Regular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ivers Italic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0187" w:rsidRDefault="0023015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195579</wp:posOffset>
          </wp:positionH>
          <wp:positionV relativeFrom="paragraph">
            <wp:posOffset>-232832</wp:posOffset>
          </wp:positionV>
          <wp:extent cx="1066800" cy="53340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015F" w:rsidRDefault="0023015F">
      <w:r>
        <w:separator/>
      </w:r>
    </w:p>
  </w:footnote>
  <w:footnote w:type="continuationSeparator" w:id="0">
    <w:p w:rsidR="0023015F" w:rsidRDefault="0023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0187" w:rsidRDefault="00BE01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1CB8"/>
    <w:multiLevelType w:val="multilevel"/>
    <w:tmpl w:val="DE749F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DE010B"/>
    <w:multiLevelType w:val="multilevel"/>
    <w:tmpl w:val="4AA634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5D07E1"/>
    <w:multiLevelType w:val="multilevel"/>
    <w:tmpl w:val="FADEC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D10413"/>
    <w:multiLevelType w:val="multilevel"/>
    <w:tmpl w:val="FFF4E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87"/>
    <w:rsid w:val="0023015F"/>
    <w:rsid w:val="008948B4"/>
    <w:rsid w:val="00B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19D18"/>
  <w15:docId w15:val="{175724E6-7C4D-3A4E-BDFE-F5BC1819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646E"/>
    <w:rPr>
      <w:rFonts w:asciiTheme="majorHAnsi" w:hAnsiTheme="majorHAnsi"/>
    </w:rPr>
  </w:style>
  <w:style w:type="paragraph" w:styleId="Kop1">
    <w:name w:val="heading 1"/>
    <w:next w:val="Standaard"/>
    <w:link w:val="Kop1Char"/>
    <w:uiPriority w:val="9"/>
    <w:qFormat/>
    <w:rsid w:val="00127459"/>
    <w:pPr>
      <w:keepNext/>
      <w:keepLines/>
      <w:tabs>
        <w:tab w:val="left" w:pos="284"/>
      </w:tabs>
      <w:outlineLvl w:val="0"/>
    </w:pPr>
    <w:rPr>
      <w:rFonts w:ascii="Anivers Regular" w:eastAsiaTheme="majorEastAsia" w:hAnsi="Anivers Regular" w:cstheme="majorBidi"/>
      <w:bCs/>
      <w:color w:val="0066BD"/>
      <w:kern w:val="28"/>
      <w:sz w:val="32"/>
      <w:szCs w:val="32"/>
    </w:rPr>
  </w:style>
  <w:style w:type="paragraph" w:styleId="Kop2">
    <w:name w:val="heading 2"/>
    <w:aliases w:val="subkop"/>
    <w:next w:val="Standaard"/>
    <w:link w:val="Kop2Char"/>
    <w:uiPriority w:val="9"/>
    <w:unhideWhenUsed/>
    <w:qFormat/>
    <w:rsid w:val="00D821C8"/>
    <w:pPr>
      <w:keepNext/>
      <w:keepLines/>
      <w:tabs>
        <w:tab w:val="left" w:pos="284"/>
      </w:tabs>
      <w:outlineLvl w:val="1"/>
    </w:pPr>
    <w:rPr>
      <w:rFonts w:ascii="Anivers Regular" w:eastAsiaTheme="majorEastAsia" w:hAnsi="Anivers Regular" w:cstheme="majorBidi"/>
      <w:bCs/>
      <w:color w:val="0066BD"/>
      <w:kern w:val="28"/>
      <w:sz w:val="20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866934"/>
    <w:pPr>
      <w:spacing w:beforeLines="1" w:afterLines="1"/>
      <w:outlineLvl w:val="3"/>
    </w:pPr>
    <w:rPr>
      <w:rFonts w:ascii="Times" w:hAnsi="Times"/>
      <w:b/>
      <w:szCs w:val="20"/>
      <w:lang w:val="en-GB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1Char">
    <w:name w:val="Kop 1 Char"/>
    <w:basedOn w:val="Standaardalinea-lettertype"/>
    <w:link w:val="Kop1"/>
    <w:rsid w:val="00127459"/>
    <w:rPr>
      <w:rFonts w:ascii="Anivers Regular" w:eastAsiaTheme="majorEastAsia" w:hAnsi="Anivers Regular" w:cstheme="majorBidi"/>
      <w:bCs/>
      <w:color w:val="0066BD"/>
      <w:kern w:val="28"/>
      <w:sz w:val="32"/>
      <w:szCs w:val="32"/>
    </w:rPr>
  </w:style>
  <w:style w:type="character" w:customStyle="1" w:styleId="Kop2Char">
    <w:name w:val="Kop 2 Char"/>
    <w:aliases w:val="subkop Char"/>
    <w:basedOn w:val="Standaardalinea-lettertype"/>
    <w:link w:val="Kop2"/>
    <w:uiPriority w:val="9"/>
    <w:rsid w:val="00D821C8"/>
    <w:rPr>
      <w:rFonts w:ascii="Anivers Regular" w:eastAsiaTheme="majorEastAsia" w:hAnsi="Anivers Regular" w:cstheme="majorBidi"/>
      <w:bCs/>
      <w:color w:val="0066BD"/>
      <w:kern w:val="28"/>
      <w:sz w:val="20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866934"/>
    <w:rPr>
      <w:rFonts w:ascii="Times" w:hAnsi="Times"/>
      <w:b/>
      <w:szCs w:val="20"/>
      <w:lang w:val="en-GB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54D1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54D1"/>
    <w:rPr>
      <w:rFonts w:ascii="Lucida Grande" w:hAnsi="Lucida Grande"/>
      <w:sz w:val="18"/>
      <w:szCs w:val="18"/>
    </w:rPr>
  </w:style>
  <w:style w:type="paragraph" w:styleId="Voettekst">
    <w:name w:val="footer"/>
    <w:basedOn w:val="Standaard"/>
    <w:link w:val="VoettekstChar"/>
    <w:rsid w:val="00940F5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940F5D"/>
    <w:rPr>
      <w:rFonts w:asciiTheme="majorHAnsi" w:hAnsiTheme="majorHAnsi"/>
      <w:szCs w:val="2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artje2go.nl/sinterklaaskaarten/kaart/echte-post-van-sinterklaas-met-daarin-een-brief-van-de-s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NxmRMLA2hXjyucgmsyqIGFPc42DAUkaLvrpxqvzFG1Y/edit?usp=shar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S+C85OY6+vOlLSrq5xzgKgOHOg==">CgMxLjA4AHIhMXp6SjI0WkxwT0J0VUxzNkVaSUJiRkxIYUppVjFxeUNt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Ingwersen</dc:creator>
  <cp:lastModifiedBy>petra de Vries</cp:lastModifiedBy>
  <cp:revision>2</cp:revision>
  <dcterms:created xsi:type="dcterms:W3CDTF">2022-02-28T13:13:00Z</dcterms:created>
  <dcterms:modified xsi:type="dcterms:W3CDTF">2024-12-10T12:37:00Z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0x010100CA330953E00513418B4B7FDE9C211DF1</vt:lpwstr>
  </property>
</Properties>
</file>